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Qfin Holdings, Inc.</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7/F Lujiazui Finance Plaza</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No. 1217 Dongfang Road</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Pudong New Area, Shanghai 200122</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703580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862" w:right="759" w:bottom="1440" w:gutter="0" w:footer="0" w:header="0"/>
        </w:sectPr>
      </w:pPr>
    </w:p>
    <w:bookmarkStart w:id="1" w:name="page2"/>
    <w:bookmarkEnd w:id="1"/>
    <w:p>
      <w:pPr>
        <w:ind w:left="5140"/>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Date of Board Meeting and Date of Publication of Third Quarter 2025 Financial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Xu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123190</wp:posOffset>
            </wp:positionV>
            <wp:extent cx="1962785" cy="1028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278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34" w:lineRule="exact"/>
        <w:rPr>
          <w:sz w:val="20"/>
          <w:szCs w:val="20"/>
          <w:color w:val="auto"/>
        </w:rPr>
      </w:pPr>
    </w:p>
    <w:p>
      <w:pPr>
        <w:ind w:left="4740"/>
        <w:spacing w:after="0" w:line="206" w:lineRule="exact"/>
        <w:rPr>
          <w:sz w:val="20"/>
          <w:szCs w:val="20"/>
          <w:color w:val="auto"/>
        </w:rPr>
      </w:pPr>
      <w:r>
        <w:rPr>
          <w:rFonts w:ascii="SimSun" w:cs="SimSun" w:eastAsia="SimSun" w:hAnsi="SimSun"/>
          <w:sz w:val="18"/>
          <w:szCs w:val="18"/>
          <w:color w:val="auto"/>
        </w:rPr>
        <w:t>奇富科技股份有限公司</w:t>
      </w:r>
    </w:p>
    <w:p>
      <w:pPr>
        <w:spacing w:after="0" w:line="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3660)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PUBLICATION OF THIRD QUARTER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RESULTS ANNOUNCEMENT</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Qfin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Tuesday, November 18, 2025 (Beijing/Hong Kong time) for the purposes of, among other things, approving the Company’s unaudited financial results and announcement for the third quarter ended September 30, 2025 (the “</w:t>
      </w:r>
      <w:r>
        <w:rPr>
          <w:rFonts w:ascii="Times New Roman" w:cs="Times New Roman" w:eastAsia="Times New Roman" w:hAnsi="Times New Roman"/>
          <w:sz w:val="18"/>
          <w:szCs w:val="18"/>
          <w:b w:val="1"/>
          <w:bCs w:val="1"/>
          <w:color w:val="auto"/>
        </w:rPr>
        <w:t>Q3 2025 Financial Results</w:t>
      </w:r>
      <w:r>
        <w:rPr>
          <w:rFonts w:ascii="Times New Roman" w:cs="Times New Roman" w:eastAsia="Times New Roman" w:hAnsi="Times New Roman"/>
          <w:sz w:val="18"/>
          <w:szCs w:val="18"/>
          <w:color w:val="auto"/>
        </w:rPr>
        <w:t xml:space="preserve">”). The Company will announce the Q3 2025 Financial Results on Wednesday, November 19, 2025 (Beijing/Hong Kong time) on the website of The Stock Exchange of Hong Kong Limited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and the Company’s website at </w:t>
      </w:r>
      <w:r>
        <w:rPr>
          <w:rFonts w:ascii="Times New Roman" w:cs="Times New Roman" w:eastAsia="Times New Roman" w:hAnsi="Times New Roman"/>
          <w:sz w:val="18"/>
          <w:szCs w:val="18"/>
          <w:u w:val="single" w:color="auto"/>
          <w:color w:val="auto"/>
        </w:rPr>
        <w:t>https://ir.qfin.com</w:t>
      </w:r>
      <w:r>
        <w:rPr>
          <w:rFonts w:ascii="Times New Roman" w:cs="Times New Roman" w:eastAsia="Times New Roman" w:hAnsi="Times New Roman"/>
          <w:sz w:val="18"/>
          <w:szCs w:val="18"/>
          <w:color w:val="auto"/>
        </w:rPr>
        <w:t>, before the trading hours of The Stock Exchange of Hong Kong Limited.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host an earnings call at 7:30 p.m. U.S. Eastern Time on Tuesday, November 18, 2025 (8:30 a.m. Beijing/Hong Kong Time on Wednesday, November 19,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who wish to join the conference call must pre-register online using the link provided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Link: </w:t>
      </w:r>
      <w:r>
        <w:rPr>
          <w:rFonts w:ascii="Times New Roman" w:cs="Times New Roman" w:eastAsia="Times New Roman" w:hAnsi="Times New Roman"/>
          <w:sz w:val="18"/>
          <w:szCs w:val="18"/>
          <w:u w:val="single" w:color="auto"/>
          <w:color w:val="auto"/>
        </w:rPr>
        <w:t>https://s1.c-conf.com/diamondpass/10051202-aikhpy.html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registration, each participant will receive details for the conference call, including dial-in numbers and a unique access PIN. Please dial in 10 minutes before the call is scheduled to begin.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Investor Relations section of the Company’s website at </w:t>
      </w:r>
      <w:r>
        <w:rPr>
          <w:rFonts w:ascii="Times New Roman" w:cs="Times New Roman" w:eastAsia="Times New Roman" w:hAnsi="Times New Roman"/>
          <w:sz w:val="18"/>
          <w:szCs w:val="18"/>
          <w:u w:val="single" w:color="auto"/>
          <w:color w:val="auto"/>
        </w:rPr>
        <w:t>https://ir.qfin.com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Haisheng Wu</w:t>
      </w:r>
    </w:p>
    <w:p>
      <w:pPr>
        <w:spacing w:after="0" w:line="9"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November 6, 2025</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Haisheng Wu, Mr. Alex Zuoli Xu and Mr. Dan Zhao as Directors; and Mr. Gang Xiao, Mr. Andrew Y Yan, Mr. Fan Zhao, Mr. Eric Xiaohuan Chen, Mr. Xiangge Liu and Ms. Jiao Jiao as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2025-11-06T05:17:19Z</dcterms:created>
  <dcterms:modified xsi:type="dcterms:W3CDTF">2025-11-06T05:17:19Z</dcterms:modified>
</cp:coreProperties>
</file>